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671F28">
      <w:pPr>
        <w:spacing w:after="0" w:line="480" w:lineRule="auto"/>
        <w:rPr>
          <w:rFonts w:ascii="Times New Roman" w:hAnsi="Times New Roman" w:cs="Times New Roman"/>
          <w:b/>
          <w:sz w:val="24"/>
          <w:szCs w:val="24"/>
        </w:rPr>
      </w:pPr>
    </w:p>
    <w:p w:rsidR="00FF5BFD" w:rsidRPr="00FF5BFD" w:rsidRDefault="00FF5BFD"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t>Critique of a Quantitative Research Report</w:t>
      </w:r>
    </w:p>
    <w:p w:rsidR="00FF5BFD" w:rsidRPr="00FF5BFD" w:rsidRDefault="00FF5BFD" w:rsidP="00FF5BFD">
      <w:pPr>
        <w:spacing w:after="0" w:line="480" w:lineRule="auto"/>
        <w:jc w:val="center"/>
        <w:rPr>
          <w:rFonts w:ascii="Times New Roman" w:hAnsi="Times New Roman" w:cs="Times New Roman"/>
          <w:sz w:val="24"/>
          <w:szCs w:val="24"/>
        </w:rPr>
      </w:pPr>
      <w:r w:rsidRPr="00FF5BFD">
        <w:rPr>
          <w:rFonts w:ascii="Times New Roman" w:hAnsi="Times New Roman" w:cs="Times New Roman"/>
          <w:sz w:val="24"/>
          <w:szCs w:val="24"/>
        </w:rPr>
        <w:t>Student’s Name</w:t>
      </w:r>
    </w:p>
    <w:p w:rsidR="00FF5BFD" w:rsidRPr="00FF5BFD" w:rsidRDefault="00FF5BFD" w:rsidP="00FF5BFD">
      <w:pPr>
        <w:spacing w:after="0" w:line="480" w:lineRule="auto"/>
        <w:jc w:val="center"/>
        <w:rPr>
          <w:rFonts w:ascii="Times New Roman" w:hAnsi="Times New Roman" w:cs="Times New Roman"/>
          <w:sz w:val="24"/>
          <w:szCs w:val="24"/>
        </w:rPr>
      </w:pPr>
      <w:r w:rsidRPr="00FF5BFD">
        <w:rPr>
          <w:rFonts w:ascii="Times New Roman" w:hAnsi="Times New Roman" w:cs="Times New Roman"/>
          <w:sz w:val="24"/>
          <w:szCs w:val="24"/>
        </w:rPr>
        <w:t>Institution</w:t>
      </w:r>
    </w:p>
    <w:p w:rsidR="00FF5BFD" w:rsidRPr="00FF5BFD" w:rsidRDefault="00FF5BFD" w:rsidP="00FF5BFD">
      <w:pPr>
        <w:spacing w:after="0" w:line="480" w:lineRule="auto"/>
        <w:jc w:val="center"/>
        <w:rPr>
          <w:rFonts w:ascii="Times New Roman" w:hAnsi="Times New Roman" w:cs="Times New Roman"/>
          <w:sz w:val="24"/>
          <w:szCs w:val="24"/>
        </w:rPr>
      </w:pPr>
      <w:r w:rsidRPr="00FF5BFD">
        <w:rPr>
          <w:rFonts w:ascii="Times New Roman" w:hAnsi="Times New Roman" w:cs="Times New Roman"/>
          <w:sz w:val="24"/>
          <w:szCs w:val="24"/>
        </w:rPr>
        <w:t>Course</w:t>
      </w:r>
    </w:p>
    <w:p w:rsidR="00FF5BFD" w:rsidRPr="00FF5BFD" w:rsidRDefault="00FF5BFD" w:rsidP="00FF5BFD">
      <w:pPr>
        <w:spacing w:after="0" w:line="480" w:lineRule="auto"/>
        <w:jc w:val="center"/>
        <w:rPr>
          <w:rFonts w:ascii="Times New Roman" w:hAnsi="Times New Roman" w:cs="Times New Roman"/>
          <w:sz w:val="24"/>
          <w:szCs w:val="24"/>
        </w:rPr>
      </w:pPr>
      <w:r w:rsidRPr="00FF5BFD">
        <w:rPr>
          <w:rFonts w:ascii="Times New Roman" w:hAnsi="Times New Roman" w:cs="Times New Roman"/>
          <w:sz w:val="24"/>
          <w:szCs w:val="24"/>
        </w:rPr>
        <w:t>Professor’s Name</w:t>
      </w:r>
    </w:p>
    <w:p w:rsidR="00FF5BFD" w:rsidRPr="00FF5BFD" w:rsidRDefault="00FF5BFD" w:rsidP="00FF5BFD">
      <w:pPr>
        <w:spacing w:after="0" w:line="480" w:lineRule="auto"/>
        <w:jc w:val="center"/>
        <w:rPr>
          <w:rFonts w:ascii="Times New Roman" w:hAnsi="Times New Roman" w:cs="Times New Roman"/>
          <w:sz w:val="24"/>
          <w:szCs w:val="24"/>
        </w:rPr>
      </w:pPr>
      <w:r w:rsidRPr="00FF5BFD">
        <w:rPr>
          <w:rFonts w:ascii="Times New Roman" w:hAnsi="Times New Roman" w:cs="Times New Roman"/>
          <w:sz w:val="24"/>
          <w:szCs w:val="24"/>
        </w:rPr>
        <w:t>Date</w:t>
      </w:r>
    </w:p>
    <w:p w:rsidR="00FF5BFD" w:rsidRPr="00FF5BFD" w:rsidRDefault="00FF5BFD" w:rsidP="00FF5BFD">
      <w:pPr>
        <w:spacing w:after="0" w:line="480" w:lineRule="auto"/>
        <w:jc w:val="center"/>
        <w:rPr>
          <w:rFonts w:ascii="Times New Roman" w:hAnsi="Times New Roman" w:cs="Times New Roman"/>
          <w:sz w:val="24"/>
          <w:szCs w:val="24"/>
        </w:rPr>
      </w:pPr>
    </w:p>
    <w:p w:rsidR="00FF5BFD" w:rsidRPr="00FF5BFD" w:rsidRDefault="00FF5BFD" w:rsidP="00FF5BFD">
      <w:pPr>
        <w:spacing w:after="0" w:line="480" w:lineRule="auto"/>
        <w:jc w:val="center"/>
        <w:rPr>
          <w:rFonts w:ascii="Times New Roman" w:hAnsi="Times New Roman" w:cs="Times New Roman"/>
          <w:sz w:val="24"/>
          <w:szCs w:val="24"/>
        </w:rPr>
      </w:pPr>
    </w:p>
    <w:p w:rsidR="00FF5BFD" w:rsidRPr="00FF5BFD" w:rsidRDefault="00FF5BFD" w:rsidP="00671F28">
      <w:pPr>
        <w:spacing w:after="0" w:line="480" w:lineRule="auto"/>
        <w:rPr>
          <w:rFonts w:ascii="Times New Roman" w:hAnsi="Times New Roman" w:cs="Times New Roman"/>
          <w:sz w:val="24"/>
          <w:szCs w:val="24"/>
        </w:rPr>
      </w:pPr>
    </w:p>
    <w:p w:rsidR="00FF5BFD" w:rsidRPr="00FF5BFD" w:rsidRDefault="00FF5BFD" w:rsidP="00671F28">
      <w:pPr>
        <w:spacing w:after="0" w:line="480" w:lineRule="auto"/>
        <w:rPr>
          <w:rFonts w:ascii="Times New Roman" w:hAnsi="Times New Roman" w:cs="Times New Roman"/>
          <w:sz w:val="24"/>
          <w:szCs w:val="24"/>
        </w:rPr>
      </w:pPr>
    </w:p>
    <w:p w:rsidR="00FF5BFD" w:rsidRPr="00FF5BFD" w:rsidRDefault="00FF5BFD" w:rsidP="00671F28">
      <w:pPr>
        <w:spacing w:after="0" w:line="480" w:lineRule="auto"/>
        <w:rPr>
          <w:rFonts w:ascii="Times New Roman" w:hAnsi="Times New Roman" w:cs="Times New Roman"/>
          <w:sz w:val="24"/>
          <w:szCs w:val="24"/>
        </w:rPr>
      </w:pPr>
    </w:p>
    <w:p w:rsidR="00FF5BFD" w:rsidRPr="00FF5BFD" w:rsidRDefault="00FF5BFD" w:rsidP="00671F28">
      <w:pPr>
        <w:spacing w:after="0" w:line="480" w:lineRule="auto"/>
        <w:rPr>
          <w:rFonts w:ascii="Times New Roman" w:hAnsi="Times New Roman" w:cs="Times New Roman"/>
          <w:sz w:val="24"/>
          <w:szCs w:val="24"/>
        </w:rPr>
      </w:pPr>
    </w:p>
    <w:p w:rsidR="00FF5BFD" w:rsidRPr="00FF5BFD" w:rsidRDefault="00FF5BFD" w:rsidP="00671F28">
      <w:pPr>
        <w:spacing w:after="0" w:line="480" w:lineRule="auto"/>
        <w:rPr>
          <w:rFonts w:ascii="Times New Roman" w:hAnsi="Times New Roman" w:cs="Times New Roman"/>
          <w:sz w:val="24"/>
          <w:szCs w:val="24"/>
        </w:rPr>
      </w:pPr>
    </w:p>
    <w:p w:rsidR="00671F28" w:rsidRPr="00FF5BFD" w:rsidRDefault="00671F28"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lastRenderedPageBreak/>
        <w:t>Critique of a Quantitative Research Report</w:t>
      </w:r>
    </w:p>
    <w:p w:rsidR="00671F28" w:rsidRPr="00FF5BFD" w:rsidRDefault="00671F28"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t>Title</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Even though the title of the article has identified the study variables, but it has not succinctly identified the study population. The study variable identified includes alcohol-use disorder. The abstract, on the other hand, has highlighted the key features of the report including background, methods, results, conclusions.</w:t>
      </w:r>
    </w:p>
    <w:p w:rsidR="00671F28" w:rsidRPr="00FF5BFD" w:rsidRDefault="00671F28"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t>Introduction</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In regards to the study’s introduction, the authors have stated the problem in an easy way to identify. The authors have stated how alcohol use disorder is a prevalent disorder that affects more than 15million adults in the United States. Using facts and statistics, the authors have built a cogent and persuasive argument for their study. The problem has significance for nursing because it provides nursing practitioners with knowledge about alcohol use and alcohol-related problems. The study’s research problem is matching the paradigm and method used. The quantitative method is appropriate because the aim of the study was to conduct a large multisite clinical trial on the efficacy of GE-XR-HORIZANT treatment for alcohol-based problems. To do this, the authors needed to generate numerical or quantitative data that can be translated into usable statistics. As such, the quantitative method was an appropriate way to quantify behaviors and generalized outcomes from a larger sample population.</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 xml:space="preserve">Neither research questions nor hypotheses have been explicitly stated in the study. The absence of these two elements has not been justified either. However, it is possible to determine the hypothesis from the problem statement. The authors have highlighted the key variables including alcohol treatment measures such as G-IR mood and sleep patterns. The study population has also been identified as alcohol-dependent persons. The hypothesis is consistent </w:t>
      </w:r>
      <w:r w:rsidRPr="00FF5BFD">
        <w:rPr>
          <w:rFonts w:ascii="Times New Roman" w:hAnsi="Times New Roman" w:cs="Times New Roman"/>
          <w:sz w:val="24"/>
          <w:szCs w:val="24"/>
        </w:rPr>
        <w:lastRenderedPageBreak/>
        <w:t>with the literature review and conceptual framework. For example, the authors examined previous literature on alcohol-related problem treatment and stated the findings on the treatment. The literature examined in this study is consistent with the hypothesis because they all highlight the treatment of alcohol-based conditions and their outcomes.</w:t>
      </w:r>
    </w:p>
    <w:p w:rsidR="00671F28" w:rsidRPr="00FF5BFD" w:rsidRDefault="00671F28"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t>Literature Review</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Some of the reviewed literature is up to date while others go back beyond ten years. However, the authors may have used old literature to provide background information on the topic. Even though there is old literature used, the authors have provided a state-of-the-art synthesis and analysis of the evidence on the problem. While comparing different literature materials, the authors have examined the gap between the existing medications for alcohol-related problems. The literature review also provides a sound basis for the new study by looking at how previous treatments have been performed including the G-IR combined with oral naltrexone on alcohol users. The authors establish that this is the basis for the new study on new and extended medication, GE-XR-HORIZANT. The authors further establish the rationale for their study citing that the proposed medication is actively absorbed by high-capacity nutrient transporters located within the users’ intestinal tract (p. 159).</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 xml:space="preserve">The conceptual framework has been defined and the rationale explained clearly. The key concepts have been equally defined conceptually. For example, the authors have established the rationale for gabapentin treatment for alcohol users citing that it is grounded on preclinical evidence that G-IR has been found to be effective in reducing alcohol intake in alcohol-dependent rats. This assumption is based on G-IR studies where the treatment has been found to be effective in minimizing symptoms associated with abstinence including craving and disturbed sleeping patterns. The authors have also defined the key concepts clearly including how different </w:t>
      </w:r>
      <w:r w:rsidRPr="00FF5BFD">
        <w:rPr>
          <w:rFonts w:ascii="Times New Roman" w:hAnsi="Times New Roman" w:cs="Times New Roman"/>
          <w:sz w:val="24"/>
          <w:szCs w:val="24"/>
        </w:rPr>
        <w:lastRenderedPageBreak/>
        <w:t>treatments such as G-IR and GE-RX are used in the treatment of alcohol-based conditions to minimize and manage the symptom.</w:t>
      </w:r>
    </w:p>
    <w:p w:rsidR="00671F28" w:rsidRPr="00FF5BFD" w:rsidRDefault="00671F28"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t>Method</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The authors sought out the consent of the participants before the research. Only those who consented participated in the research; thus, the research included appropriate procedures to safeguard and protect the rights of the study participants. The researchers tried to observe ethical research procedures including using consent as one of the eligibility criteria for the study. The study protocol was approved by the local Institutional Review Board in every clinical site where the research was undertaken. Further, the study was designed to minimize risks and maximize the benefits to the participants. For example, patients with clinically relevant complications, which would have increased their risks, were excluded from the study.</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 xml:space="preserve">A rigorous possible design was used as the authors used a randomized approach to select participants. As the authors state, they used “a pivotal, randomized, double-blind, and placebo-controlled” design to select the participants (p. 160). The authors ensured that all participants were willing to participate in the study by writing an informed consent before initiating the study. Appropriate comparisons were made to improve the interpretability of the results. For example, the authors captured the results via Time-Line Follow Back and Form 90 to determine the measures of efficacy of treatment. The data were collected at different intervals and compared including at 12, 20, and 24 weeks. The data collection points were also appropriate because the authors used established clinical sites approved by the Institutional Review Board. The research design adopted minimized the threats. The study used the blinding technique to minimize threats like biases. For example, the participants were randomly assigned to the clinical sites. Further, the authors also ensured that the clinical sites used in the study were chosen as </w:t>
      </w:r>
      <w:r w:rsidRPr="00FF5BFD">
        <w:rPr>
          <w:rFonts w:ascii="Times New Roman" w:hAnsi="Times New Roman" w:cs="Times New Roman"/>
          <w:sz w:val="24"/>
          <w:szCs w:val="24"/>
        </w:rPr>
        <w:lastRenderedPageBreak/>
        <w:t>stratification variables based on the fact that drinking behavior may vary among the participants, which may also influence the results. Also, the study included all the sample members who were randomly assigned to the clinical sites to minimize attrition.</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The population has been described and the best sampling design is used to enhance samples’ representativeness. For instance, a sample size of 346 was randomly selected. The inclusion criteria included age of 21 years and above and must have been diagnosed with at least moderate alcohol use disorder in the past year. The sample size was adequate (n=346), but power analysis was not used to determine the sample size.</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The operational and conceptual definitions are congruent, with key variables operationalized using the interview method. Both in-person and telephone interview methods were used across the 11 clinical sites. There were 11 in-person visits and 17 telephone visits during the study period. The justification for the telephone visits includes the time and expense of travel to the clinical sites by the participants. Some of the specific instruments used in the study include modified intention-to-treat (mITT), Time-Line Follow-Back, and Form 90 Interviews. The report has provided evidence that the data collection method used yielded reliable and valid data.  For example, the authors used moderator tested to evaluate the possibility that alcohol consumption impacted the bioavailability of the treatment, GE-XR. Some of the interventions that the authors used include no adjustment for multiple inferential tests. There is no evidence of intervention fidelity highlighted in the study. Even though the staff who collected data were not mentioned (whether they were trained or not), data seems to have been collected in a manner that minimized biases. The authors used the Take Control module, a computerized platform located in each clinical site to collect information from participants whenever they made their visits.</w:t>
      </w:r>
    </w:p>
    <w:p w:rsidR="00671F28" w:rsidRPr="00FF5BFD" w:rsidRDefault="00671F28"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lastRenderedPageBreak/>
        <w:t>Results</w:t>
      </w:r>
      <w:r w:rsidR="00FF5BFD" w:rsidRPr="00FF5BFD">
        <w:rPr>
          <w:rFonts w:ascii="Times New Roman" w:hAnsi="Times New Roman" w:cs="Times New Roman"/>
          <w:b/>
          <w:sz w:val="24"/>
          <w:szCs w:val="24"/>
        </w:rPr>
        <w:t xml:space="preserve"> and Findings</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The analysis was undertaken to address the research hypothesis and appropriate method employed to interpret the collected data. Baseline safety and efficacy analyzes were undertaken using a modified intention-to-treat (mITT) instrument to analyze the population. The most powerful analytical method, exploratory moderator analysis, was used to determine the primary efficacy outcome. The authors abandoned significance testing, thus, avoiding type I and II errors. An intention-to-treat analysis was performed. However, problems of missing values were not evaluated or addressed at all.</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Information about statistical significance is presented as p &lt; 0.05. Since no adjustments were made for multiple inferential tests, the information about the effect size and precision of estimates was not presented. The findings, however, have been adequately summarized with good use of tables and figures. This includes the figure on the percentage of subjects with no heavy drinking days and table of percentage of participants with adverse events occurring at least 5% of the mITT population. The findings have been presented in a manner that supposed meta-analysis with the entire outcome interpreted and discussed within the context of the previous research’s conceptual framework. Causal inferences have not been justified. The interpretations are well-founded and consistent with the study’s limitations. Some of the limitations related to the findings include a lack of additional treatment arms to evaluate the efficacy and safety of higher doses of GE-XR. The report has also addressed the issue of generalizability of the findings citing that the findings cannot be generalized for higher doses of GE-XR treatment. Furthermore, the authors noted that the study benefited from a multisite design, which improved the generalizability of results.</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lastRenderedPageBreak/>
        <w:t>The researchers have also discussed the implication of their study for clinical practice citing that the dose tested in this study cannot be recommended for the treatment of alcohol use disorder.</w:t>
      </w:r>
    </w:p>
    <w:p w:rsidR="00671F28" w:rsidRPr="00FF5BFD" w:rsidRDefault="00671F28"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t>Global Issues</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The report is well-written, organized, and sufficiently detailed for critical analysis. Each of the key sections has been highlighted and written in a clear manner. In the intervention studies, the CONSORT flow chart was not provided. The report has been written in a manner that makes the findings accessible to practicing nurses. For example, the report has used nursing friendly and related terms that practicing nurses can resonate with.</w:t>
      </w:r>
    </w:p>
    <w:p w:rsidR="00671F28" w:rsidRPr="00FF5BFD" w:rsidRDefault="00671F28"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t>Research Credibility</w:t>
      </w:r>
    </w:p>
    <w:p w:rsidR="00671F28"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The researchers’ methodological and clinical qualifications and experiences enhance confidence in the findings and interpretation of the report. The quantitative method and analysis approach used in this study justifies the interpretation of the findings. Further, the authors’ experience with the alcohol abuse and alcoholism clinical research enhances confidence in the interpretation of the report.</w:t>
      </w:r>
    </w:p>
    <w:p w:rsidR="00671F28" w:rsidRPr="00FF5BFD" w:rsidRDefault="00671F28" w:rsidP="00FF5BFD">
      <w:pPr>
        <w:spacing w:after="0" w:line="480" w:lineRule="auto"/>
        <w:jc w:val="center"/>
        <w:rPr>
          <w:rFonts w:ascii="Times New Roman" w:hAnsi="Times New Roman" w:cs="Times New Roman"/>
          <w:b/>
          <w:sz w:val="24"/>
          <w:szCs w:val="24"/>
        </w:rPr>
      </w:pPr>
      <w:r w:rsidRPr="00FF5BFD">
        <w:rPr>
          <w:rFonts w:ascii="Times New Roman" w:hAnsi="Times New Roman" w:cs="Times New Roman"/>
          <w:b/>
          <w:sz w:val="24"/>
          <w:szCs w:val="24"/>
        </w:rPr>
        <w:t>Summary Assessment</w:t>
      </w:r>
    </w:p>
    <w:p w:rsidR="001C273C" w:rsidRPr="00FF5BFD" w:rsidRDefault="00671F28" w:rsidP="00671F28">
      <w:pPr>
        <w:spacing w:after="0" w:line="480" w:lineRule="auto"/>
        <w:ind w:firstLine="720"/>
        <w:rPr>
          <w:rFonts w:ascii="Times New Roman" w:hAnsi="Times New Roman" w:cs="Times New Roman"/>
          <w:sz w:val="24"/>
          <w:szCs w:val="24"/>
        </w:rPr>
      </w:pPr>
      <w:r w:rsidRPr="00FF5BFD">
        <w:rPr>
          <w:rFonts w:ascii="Times New Roman" w:hAnsi="Times New Roman" w:cs="Times New Roman"/>
          <w:sz w:val="24"/>
          <w:szCs w:val="24"/>
        </w:rPr>
        <w:t xml:space="preserve">Despite the limitations of this study, the findings appear to be valid because the research has used a method that measures what the researchers intended to measure. This research has high validity with the outcome depicting 91% power to detect treatment effect comparable to the previous studies. As such, I have confidence in the truth value of the results. The study contributes meaningful evidence that can be used in nursing practice. For example, the null efficacy results in the study are relevant to nursing practitioners because it can help determine </w:t>
      </w:r>
      <w:r w:rsidRPr="00FF5BFD">
        <w:rPr>
          <w:rFonts w:ascii="Times New Roman" w:hAnsi="Times New Roman" w:cs="Times New Roman"/>
          <w:sz w:val="24"/>
          <w:szCs w:val="24"/>
        </w:rPr>
        <w:lastRenderedPageBreak/>
        <w:t>the kind of treatment to be used in alcohol-related problems. GE-XR treatment has been found to be not effective, and therefore, not recommended for treatment of alcohol use disorder.</w:t>
      </w:r>
    </w:p>
    <w:p w:rsidR="001C273C" w:rsidRPr="00FF5BFD" w:rsidRDefault="001C273C" w:rsidP="00671F28">
      <w:pPr>
        <w:spacing w:after="0" w:line="480" w:lineRule="auto"/>
        <w:ind w:firstLine="720"/>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FF5BFD" w:rsidRPr="00FF5BFD" w:rsidRDefault="00FF5BFD" w:rsidP="00FF5BFD">
      <w:pPr>
        <w:spacing w:after="0" w:line="480" w:lineRule="auto"/>
        <w:rPr>
          <w:rFonts w:ascii="Times New Roman" w:hAnsi="Times New Roman" w:cs="Times New Roman"/>
          <w:sz w:val="24"/>
          <w:szCs w:val="24"/>
        </w:rPr>
      </w:pPr>
    </w:p>
    <w:p w:rsidR="001C273C" w:rsidRPr="00FF5BFD" w:rsidRDefault="001C273C" w:rsidP="00FF5BFD">
      <w:pPr>
        <w:spacing w:after="0" w:line="480" w:lineRule="auto"/>
        <w:jc w:val="center"/>
        <w:rPr>
          <w:rFonts w:ascii="Times New Roman" w:hAnsi="Times New Roman" w:cs="Times New Roman"/>
          <w:sz w:val="24"/>
          <w:szCs w:val="24"/>
        </w:rPr>
      </w:pPr>
      <w:r w:rsidRPr="00FF5BFD">
        <w:rPr>
          <w:rFonts w:ascii="Times New Roman" w:hAnsi="Times New Roman" w:cs="Times New Roman"/>
          <w:sz w:val="24"/>
          <w:szCs w:val="24"/>
        </w:rPr>
        <w:lastRenderedPageBreak/>
        <w:t>Reference</w:t>
      </w:r>
    </w:p>
    <w:p w:rsidR="001C273C" w:rsidRPr="00FF5BFD" w:rsidRDefault="001C273C" w:rsidP="00FF5BFD">
      <w:pPr>
        <w:spacing w:after="0" w:line="480" w:lineRule="auto"/>
        <w:ind w:left="720" w:hanging="720"/>
        <w:rPr>
          <w:rFonts w:ascii="Times New Roman" w:hAnsi="Times New Roman" w:cs="Times New Roman"/>
          <w:sz w:val="24"/>
          <w:szCs w:val="24"/>
        </w:rPr>
      </w:pPr>
      <w:r w:rsidRPr="00FF5BFD">
        <w:rPr>
          <w:rFonts w:ascii="Times New Roman" w:hAnsi="Times New Roman" w:cs="Times New Roman"/>
          <w:sz w:val="24"/>
          <w:szCs w:val="24"/>
          <w:shd w:val="clear" w:color="auto" w:fill="FFFFFF"/>
        </w:rPr>
        <w:t>Falk, D. E., Ryan, M. L., Fertig, J. B., Devine, E. G., Cruz, R., Brown, E. S., ... &amp; National Institute on Alcohol Abuse and Alcoholism Clinical In</w:t>
      </w:r>
      <w:bookmarkStart w:id="0" w:name="_GoBack"/>
      <w:bookmarkEnd w:id="0"/>
      <w:r w:rsidRPr="00FF5BFD">
        <w:rPr>
          <w:rFonts w:ascii="Times New Roman" w:hAnsi="Times New Roman" w:cs="Times New Roman"/>
          <w:sz w:val="24"/>
          <w:szCs w:val="24"/>
          <w:shd w:val="clear" w:color="auto" w:fill="FFFFFF"/>
        </w:rPr>
        <w:t>vestigations Group (NCIG) Study Group. (2019). Gabapentin enacarbil extended</w:t>
      </w:r>
      <w:r w:rsidRPr="00FF5BFD">
        <w:rPr>
          <w:rFonts w:ascii="Cambria Math" w:hAnsi="Cambria Math" w:cs="Cambria Math"/>
          <w:sz w:val="24"/>
          <w:szCs w:val="24"/>
          <w:shd w:val="clear" w:color="auto" w:fill="FFFFFF"/>
        </w:rPr>
        <w:t>‐</w:t>
      </w:r>
      <w:r w:rsidRPr="00FF5BFD">
        <w:rPr>
          <w:rFonts w:ascii="Times New Roman" w:hAnsi="Times New Roman" w:cs="Times New Roman"/>
          <w:sz w:val="24"/>
          <w:szCs w:val="24"/>
          <w:shd w:val="clear" w:color="auto" w:fill="FFFFFF"/>
        </w:rPr>
        <w:t>release for alcohol use disorder: a randomized, double</w:t>
      </w:r>
      <w:r w:rsidRPr="00FF5BFD">
        <w:rPr>
          <w:rFonts w:ascii="Cambria Math" w:hAnsi="Cambria Math" w:cs="Cambria Math"/>
          <w:sz w:val="24"/>
          <w:szCs w:val="24"/>
          <w:shd w:val="clear" w:color="auto" w:fill="FFFFFF"/>
        </w:rPr>
        <w:t>‐</w:t>
      </w:r>
      <w:r w:rsidRPr="00FF5BFD">
        <w:rPr>
          <w:rFonts w:ascii="Times New Roman" w:hAnsi="Times New Roman" w:cs="Times New Roman"/>
          <w:sz w:val="24"/>
          <w:szCs w:val="24"/>
          <w:shd w:val="clear" w:color="auto" w:fill="FFFFFF"/>
        </w:rPr>
        <w:t>blind, placebo</w:t>
      </w:r>
      <w:r w:rsidRPr="00FF5BFD">
        <w:rPr>
          <w:rFonts w:ascii="Cambria Math" w:hAnsi="Cambria Math" w:cs="Cambria Math"/>
          <w:sz w:val="24"/>
          <w:szCs w:val="24"/>
          <w:shd w:val="clear" w:color="auto" w:fill="FFFFFF"/>
        </w:rPr>
        <w:t>‐</w:t>
      </w:r>
      <w:r w:rsidRPr="00FF5BFD">
        <w:rPr>
          <w:rFonts w:ascii="Times New Roman" w:hAnsi="Times New Roman" w:cs="Times New Roman"/>
          <w:sz w:val="24"/>
          <w:szCs w:val="24"/>
          <w:shd w:val="clear" w:color="auto" w:fill="FFFFFF"/>
        </w:rPr>
        <w:t>controlled, multisite trial assessing efficacy and safety. </w:t>
      </w:r>
      <w:r w:rsidRPr="00FF5BFD">
        <w:rPr>
          <w:rFonts w:ascii="Times New Roman" w:hAnsi="Times New Roman" w:cs="Times New Roman"/>
          <w:i/>
          <w:iCs/>
          <w:sz w:val="24"/>
          <w:szCs w:val="24"/>
          <w:shd w:val="clear" w:color="auto" w:fill="FFFFFF"/>
        </w:rPr>
        <w:t>Alcoholism: Clinical and Experimental Research</w:t>
      </w:r>
      <w:r w:rsidRPr="00FF5BFD">
        <w:rPr>
          <w:rFonts w:ascii="Times New Roman" w:hAnsi="Times New Roman" w:cs="Times New Roman"/>
          <w:sz w:val="24"/>
          <w:szCs w:val="24"/>
          <w:shd w:val="clear" w:color="auto" w:fill="FFFFFF"/>
        </w:rPr>
        <w:t>, </w:t>
      </w:r>
      <w:r w:rsidRPr="00FF5BFD">
        <w:rPr>
          <w:rFonts w:ascii="Times New Roman" w:hAnsi="Times New Roman" w:cs="Times New Roman"/>
          <w:i/>
          <w:iCs/>
          <w:sz w:val="24"/>
          <w:szCs w:val="24"/>
          <w:shd w:val="clear" w:color="auto" w:fill="FFFFFF"/>
        </w:rPr>
        <w:t>43</w:t>
      </w:r>
      <w:r w:rsidRPr="00FF5BFD">
        <w:rPr>
          <w:rFonts w:ascii="Times New Roman" w:hAnsi="Times New Roman" w:cs="Times New Roman"/>
          <w:sz w:val="24"/>
          <w:szCs w:val="24"/>
          <w:shd w:val="clear" w:color="auto" w:fill="FFFFFF"/>
        </w:rPr>
        <w:t>(1), 158-169.</w:t>
      </w:r>
    </w:p>
    <w:sectPr w:rsidR="001C273C" w:rsidRPr="00FF5BFD" w:rsidSect="00FF5B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DC6" w:rsidRDefault="004E2DC6" w:rsidP="00671F28">
      <w:pPr>
        <w:spacing w:after="0" w:line="240" w:lineRule="auto"/>
      </w:pPr>
      <w:r>
        <w:separator/>
      </w:r>
    </w:p>
  </w:endnote>
  <w:endnote w:type="continuationSeparator" w:id="1">
    <w:p w:rsidR="004E2DC6" w:rsidRDefault="004E2DC6" w:rsidP="00671F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DC6" w:rsidRDefault="004E2DC6" w:rsidP="00671F28">
      <w:pPr>
        <w:spacing w:after="0" w:line="240" w:lineRule="auto"/>
      </w:pPr>
      <w:r>
        <w:separator/>
      </w:r>
    </w:p>
  </w:footnote>
  <w:footnote w:type="continuationSeparator" w:id="1">
    <w:p w:rsidR="004E2DC6" w:rsidRDefault="004E2DC6" w:rsidP="00671F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28" w:rsidRPr="00FF5BFD" w:rsidRDefault="00FF5BFD" w:rsidP="00FF5BFD">
    <w:pPr>
      <w:pStyle w:val="Header"/>
      <w:rPr>
        <w:rFonts w:ascii="Times New Roman" w:hAnsi="Times New Roman" w:cs="Times New Roman"/>
        <w:sz w:val="24"/>
        <w:szCs w:val="24"/>
      </w:rPr>
    </w:pPr>
    <w:r>
      <w:rPr>
        <w:rFonts w:ascii="Times New Roman" w:hAnsi="Times New Roman" w:cs="Times New Roman"/>
        <w:sz w:val="24"/>
        <w:szCs w:val="24"/>
      </w:rPr>
      <w:t xml:space="preserve">ARTICLE CRITIQUE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55F81" w:rsidRPr="00FF5BFD">
      <w:rPr>
        <w:rFonts w:ascii="Times New Roman" w:hAnsi="Times New Roman" w:cs="Times New Roman"/>
        <w:sz w:val="24"/>
        <w:szCs w:val="24"/>
      </w:rPr>
      <w:fldChar w:fldCharType="begin"/>
    </w:r>
    <w:r w:rsidRPr="00FF5BFD">
      <w:rPr>
        <w:rFonts w:ascii="Times New Roman" w:hAnsi="Times New Roman" w:cs="Times New Roman"/>
        <w:sz w:val="24"/>
        <w:szCs w:val="24"/>
      </w:rPr>
      <w:instrText xml:space="preserve"> PAGE   \* MERGEFORMAT </w:instrText>
    </w:r>
    <w:r w:rsidR="00055F81" w:rsidRPr="00FF5BFD">
      <w:rPr>
        <w:rFonts w:ascii="Times New Roman" w:hAnsi="Times New Roman" w:cs="Times New Roman"/>
        <w:sz w:val="24"/>
        <w:szCs w:val="24"/>
      </w:rPr>
      <w:fldChar w:fldCharType="separate"/>
    </w:r>
    <w:r w:rsidR="00CF1DB3">
      <w:rPr>
        <w:rFonts w:ascii="Times New Roman" w:hAnsi="Times New Roman" w:cs="Times New Roman"/>
        <w:noProof/>
        <w:sz w:val="24"/>
        <w:szCs w:val="24"/>
      </w:rPr>
      <w:t>9</w:t>
    </w:r>
    <w:r w:rsidR="00055F81" w:rsidRPr="00FF5BFD">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28" w:rsidRPr="00FF5BFD" w:rsidRDefault="00055F81" w:rsidP="00FF5BFD">
    <w:pPr>
      <w:pStyle w:val="Header"/>
      <w:jc w:val="right"/>
      <w:rPr>
        <w:rFonts w:ascii="Times New Roman" w:hAnsi="Times New Roman" w:cs="Times New Roman"/>
        <w:sz w:val="24"/>
        <w:szCs w:val="24"/>
      </w:rPr>
    </w:pPr>
    <w:r w:rsidRPr="00FF5BFD">
      <w:rPr>
        <w:rFonts w:ascii="Times New Roman" w:hAnsi="Times New Roman" w:cs="Times New Roman"/>
        <w:sz w:val="24"/>
        <w:szCs w:val="24"/>
      </w:rPr>
      <w:fldChar w:fldCharType="begin"/>
    </w:r>
    <w:r w:rsidR="00FF5BFD" w:rsidRPr="00FF5BFD">
      <w:rPr>
        <w:rFonts w:ascii="Times New Roman" w:hAnsi="Times New Roman" w:cs="Times New Roman"/>
        <w:sz w:val="24"/>
        <w:szCs w:val="24"/>
      </w:rPr>
      <w:instrText xml:space="preserve"> PAGE   \* MERGEFORMAT </w:instrText>
    </w:r>
    <w:r w:rsidRPr="00FF5BFD">
      <w:rPr>
        <w:rFonts w:ascii="Times New Roman" w:hAnsi="Times New Roman" w:cs="Times New Roman"/>
        <w:sz w:val="24"/>
        <w:szCs w:val="24"/>
      </w:rPr>
      <w:fldChar w:fldCharType="separate"/>
    </w:r>
    <w:r w:rsidR="00CF1DB3">
      <w:rPr>
        <w:rFonts w:ascii="Times New Roman" w:hAnsi="Times New Roman" w:cs="Times New Roman"/>
        <w:noProof/>
        <w:sz w:val="24"/>
        <w:szCs w:val="24"/>
      </w:rPr>
      <w:t>1</w:t>
    </w:r>
    <w:r w:rsidRPr="00FF5BF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1FB8"/>
    <w:rsid w:val="00055F81"/>
    <w:rsid w:val="000925ED"/>
    <w:rsid w:val="00102DA1"/>
    <w:rsid w:val="00110CA5"/>
    <w:rsid w:val="001C273C"/>
    <w:rsid w:val="002E55A7"/>
    <w:rsid w:val="004E2DC6"/>
    <w:rsid w:val="0059233D"/>
    <w:rsid w:val="005E7A85"/>
    <w:rsid w:val="00631E96"/>
    <w:rsid w:val="00671F28"/>
    <w:rsid w:val="0075617E"/>
    <w:rsid w:val="007C64AF"/>
    <w:rsid w:val="00B329F7"/>
    <w:rsid w:val="00C25CED"/>
    <w:rsid w:val="00CF1DB3"/>
    <w:rsid w:val="00D90025"/>
    <w:rsid w:val="00DC7B76"/>
    <w:rsid w:val="00E51381"/>
    <w:rsid w:val="00ED32EE"/>
    <w:rsid w:val="00FD1FB8"/>
    <w:rsid w:val="00FF5B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F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F28"/>
  </w:style>
  <w:style w:type="paragraph" w:styleId="Footer">
    <w:name w:val="footer"/>
    <w:basedOn w:val="Normal"/>
    <w:link w:val="FooterChar"/>
    <w:uiPriority w:val="99"/>
    <w:unhideWhenUsed/>
    <w:rsid w:val="00671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F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F28"/>
  </w:style>
  <w:style w:type="paragraph" w:styleId="Footer">
    <w:name w:val="footer"/>
    <w:basedOn w:val="Normal"/>
    <w:link w:val="FooterChar"/>
    <w:uiPriority w:val="99"/>
    <w:unhideWhenUsed/>
    <w:rsid w:val="00671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F2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2021-01-22T14:18:00Z</dcterms:created>
  <dcterms:modified xsi:type="dcterms:W3CDTF">2021-01-22T14:18:00Z</dcterms:modified>
</cp:coreProperties>
</file>